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57F53" w14:textId="03FE2448" w:rsidR="002028CB" w:rsidRDefault="004B4550">
      <w:pPr>
        <w:jc w:val="center"/>
        <w:rPr>
          <w:sz w:val="32"/>
          <w:szCs w:val="32"/>
        </w:rPr>
      </w:pPr>
      <w:r>
        <w:rPr>
          <w:sz w:val="32"/>
          <w:szCs w:val="32"/>
        </w:rPr>
        <w:t xml:space="preserve">Termat e Referencës për Fushatën e Agjencisë </w:t>
      </w:r>
      <w:r w:rsidR="00AC5916">
        <w:rPr>
          <w:sz w:val="32"/>
          <w:szCs w:val="32"/>
        </w:rPr>
        <w:t>për Informim</w:t>
      </w:r>
      <w:r>
        <w:rPr>
          <w:sz w:val="32"/>
          <w:szCs w:val="32"/>
        </w:rPr>
        <w:t xml:space="preserve"> dhe Privatësi mbi Ndërgjegjësimin e Informacionit</w:t>
      </w:r>
    </w:p>
    <w:p w14:paraId="34625B76" w14:textId="77777777" w:rsidR="002028CB" w:rsidRDefault="004B4550">
      <w:pPr>
        <w:jc w:val="center"/>
      </w:pPr>
      <w:r>
        <w:t>Fondi i Zhvillimit të Komunitetit – Projekti i të Drejtave Njerëzore</w:t>
      </w:r>
    </w:p>
    <w:p w14:paraId="3C5B7C35" w14:textId="77777777" w:rsidR="002028CB" w:rsidRDefault="004B4550">
      <w:pPr>
        <w:pStyle w:val="Heading1"/>
        <w:jc w:val="both"/>
      </w:pPr>
      <w:r>
        <w:t>1. Hyrje</w:t>
      </w:r>
    </w:p>
    <w:p w14:paraId="1CB8DBE4" w14:textId="25EABE14" w:rsidR="002028CB" w:rsidRDefault="004B4550">
      <w:pPr>
        <w:jc w:val="both"/>
      </w:pPr>
      <w:r>
        <w:t>Instituti për Teknologji dhe Shoqëri (ITS) është institut kërkimor i pavarur, jopartiak dhe jofitimprurës i dedikuar për të eksploruar marrëdhëniet komplekse midis teknologjisë dhe shoqërisë. Në ITS, ne besojmë se teknologjia është një nga forcat më të fuqishme që</w:t>
      </w:r>
      <w:r w:rsidR="00AC5916">
        <w:t xml:space="preserve"> sot</w:t>
      </w:r>
      <w:r>
        <w:t xml:space="preserve"> i jep formë botës sonë, kjo forcë mund ta transformojë botën për mirë, por ne gjithashtu e kuptojmë se teknologjitë e reja mund të krijojnë sfida të reja dhe pasoja të padëshiruara negative. Për këtë arsye, jemi të përkushtuar për kërkime të hapura dhe transparente dhe përpiqemi të angazhohemi me perspektiva dhe komunitete të ndryshme. Ne besojmë </w:t>
      </w:r>
      <w:r w:rsidR="00AC5916">
        <w:t>dialogu</w:t>
      </w:r>
      <w:r>
        <w:t xml:space="preserve"> i fuqishëm publik dhe edukimi mbi rolin e teknologjisë në shoqëri është thelbësor për krijimin e një të ardhmeje që funksionon për të gjithë. Informacioni dhe ndërgjegjësimi i qytetarëve për të drejtat e tyre dixhitale dhe hapat që mund të ndërmarrin për t'i mbrojtur ato janë një gur themeli për zbutjen e rreziqeve dhe maksimizimin e potencialit të teknologjisë për të avancuar shoqërinë.</w:t>
      </w:r>
    </w:p>
    <w:p w14:paraId="7AD87D1C" w14:textId="2B4D0E86" w:rsidR="002028CB" w:rsidRDefault="00AC5916">
      <w:pPr>
        <w:jc w:val="both"/>
      </w:pPr>
      <w:r>
        <w:t>Community Development Fun (</w:t>
      </w:r>
      <w:r w:rsidR="004B4550">
        <w:t>CDF</w:t>
      </w:r>
      <w:r>
        <w:t>)</w:t>
      </w:r>
      <w:r w:rsidR="004B4550">
        <w:t xml:space="preserve"> është një nga iniciativat e para në Kosovën e pasluftës, e krijuar për të ndihmuar komunitetet në rindërtimin e infrastrukturës së tyre të shkatërruar dhe përmirësimin e shërbimeve komunitare. Nëpërmjet projekteve të saj, CDF synon ngritjen e kapaciteteve të vetë-zhvillimit brenda komuniteteve, në mënyrë që të jetë në gjendje të artikulojë dhe përmbushë nevojat e tyre zhvillimore si një komunitet në tërësi, ose si një grup i caktuar brenda një komuniteti. Projekti Human </w:t>
      </w:r>
      <w:r w:rsidR="00FE3809">
        <w:t xml:space="preserve">Rightivism </w:t>
      </w:r>
      <w:r w:rsidR="004B4550">
        <w:t xml:space="preserve">përfaqëson një përpjekje unike dhe të mirëfilltë nga qytetarët e grupit të synuar për të kaluar nga pasivizmi në aktivizëm, nga ata dhe ne, në një grup të thjeshtë të përbashkët të unifikuar interesash, nga prizmi individual në prizëm grupor. Projekti Human </w:t>
      </w:r>
      <w:r w:rsidR="00FE3809">
        <w:t xml:space="preserve">Rightivism </w:t>
      </w:r>
      <w:r w:rsidR="004B4550">
        <w:t xml:space="preserve">financohet nga Agjencia Suedeze për Bashkëpunim Ndërkombëtar për Zhvillim (SIDA), zbatuar nga Fondi për </w:t>
      </w:r>
      <w:r>
        <w:t>Community Development Fun (CDF).</w:t>
      </w:r>
    </w:p>
    <w:p w14:paraId="5E449FB8" w14:textId="77777777" w:rsidR="002028CB" w:rsidRDefault="004B4550">
      <w:pPr>
        <w:pStyle w:val="Heading1"/>
        <w:jc w:val="both"/>
      </w:pPr>
      <w:r>
        <w:t>2. Informacion i përgjithshëm mbi projektin</w:t>
      </w:r>
    </w:p>
    <w:p w14:paraId="09B03C20" w14:textId="185AED59" w:rsidR="002028CB" w:rsidRDefault="004B4550">
      <w:pPr>
        <w:jc w:val="both"/>
      </w:pPr>
      <w:r>
        <w:t>Fushata e Agjencisë së Informacionit dhe Privatësisë për Ndërgjegjësimin e Informacionit është një projekt thelbësor i krijuar për të adresuar një nevojë thelbësore të identifikuar nga Agjencia për Inform</w:t>
      </w:r>
      <w:r w:rsidR="00AC5916">
        <w:t xml:space="preserve">im </w:t>
      </w:r>
      <w:r>
        <w:t xml:space="preserve">dhe Privatësi (AIP): shtrirjen e shtrirjes së tyre në një audiencë më të gjerë duke përdorur mediat online. Duke njohur sfidën në komunikimin efektiv të temave komplekse të mbrojtjes së të dhënave dhe të drejtave dixhitale, kjo fushatë synon të kapërcejë hendekun përmes përmbajtjes tërheqëse dhe edukative. Fushata do të zhvillojë 42 postime, duke përfshirë 36 postime me tekst dhe foto dhe 6 video. Këto do të jenë të dizajnuara në mënyrë strategjike për të qenë edukative, por edhe argëtuese, duke siguruar që të mësuarit rreth këtyre temave kritike nuk është një punë e përditshme, por një përvojë tërheqëse. Fokusi do të jetë në ofrimin e përmbajtjes që është e lehtë për t'u </w:t>
      </w:r>
      <w:r w:rsidR="004540E1">
        <w:t>kuptuar.</w:t>
      </w:r>
    </w:p>
    <w:p w14:paraId="48FF48C7" w14:textId="77777777" w:rsidR="002028CB" w:rsidRDefault="004B4550">
      <w:pPr>
        <w:pStyle w:val="Heading1"/>
        <w:jc w:val="both"/>
      </w:pPr>
      <w:r>
        <w:t>3. Objektivi i detyrës</w:t>
      </w:r>
    </w:p>
    <w:p w14:paraId="0497DA21" w14:textId="73502846" w:rsidR="002028CB" w:rsidRDefault="004B4550">
      <w:pPr>
        <w:jc w:val="both"/>
      </w:pPr>
      <w:r>
        <w:t>Objektivi i këtyre Termave të Referencës (TR) është të angazhojë një kompani të pajisur me një ekip ekspertësh të aftë për të ekzekutuar komponentë specifikë të përshkruar në TR . Këta komponentë përfshijnë:</w:t>
      </w:r>
    </w:p>
    <w:p w14:paraId="5097E3AD" w14:textId="3898BF72" w:rsidR="002028CB" w:rsidRDefault="004B4550">
      <w:pPr>
        <w:numPr>
          <w:ilvl w:val="0"/>
          <w:numId w:val="5"/>
        </w:numPr>
        <w:pBdr>
          <w:top w:val="nil"/>
          <w:left w:val="nil"/>
          <w:bottom w:val="nil"/>
          <w:right w:val="nil"/>
          <w:between w:val="nil"/>
        </w:pBdr>
        <w:spacing w:after="0"/>
        <w:jc w:val="both"/>
      </w:pPr>
      <w:r>
        <w:rPr>
          <w:color w:val="000000"/>
        </w:rPr>
        <w:lastRenderedPageBreak/>
        <w:t>Dizajnimi i postimeve</w:t>
      </w:r>
      <w:r w:rsidR="004540E1">
        <w:rPr>
          <w:color w:val="000000"/>
        </w:rPr>
        <w:t xml:space="preserve"> vizualisht tërheqëse në media sociale</w:t>
      </w:r>
      <w:r>
        <w:rPr>
          <w:color w:val="000000"/>
        </w:rPr>
        <w:t>që transmetojnë në mënyrë efikase informacionin tek audienca e synuar.</w:t>
      </w:r>
    </w:p>
    <w:p w14:paraId="6E064CD2" w14:textId="77777777" w:rsidR="002028CB" w:rsidRDefault="004B4550">
      <w:pPr>
        <w:numPr>
          <w:ilvl w:val="0"/>
          <w:numId w:val="5"/>
        </w:numPr>
        <w:pBdr>
          <w:top w:val="nil"/>
          <w:left w:val="nil"/>
          <w:bottom w:val="nil"/>
          <w:right w:val="nil"/>
          <w:between w:val="nil"/>
        </w:pBdr>
        <w:spacing w:after="0"/>
        <w:jc w:val="both"/>
      </w:pPr>
      <w:r>
        <w:rPr>
          <w:color w:val="000000"/>
        </w:rPr>
        <w:t>Krijimi i përmbajtjes video informative dhe tërheqëse vizuale që përcjell informacion të detajuar dhe të saktë tek audienca e synuar.</w:t>
      </w:r>
    </w:p>
    <w:p w14:paraId="02BE007D" w14:textId="2EAECFF9" w:rsidR="002028CB" w:rsidRDefault="004B4550">
      <w:pPr>
        <w:numPr>
          <w:ilvl w:val="0"/>
          <w:numId w:val="5"/>
        </w:numPr>
        <w:pBdr>
          <w:top w:val="nil"/>
          <w:left w:val="nil"/>
          <w:bottom w:val="nil"/>
          <w:right w:val="nil"/>
          <w:between w:val="nil"/>
        </w:pBdr>
        <w:jc w:val="both"/>
      </w:pPr>
      <w:r>
        <w:rPr>
          <w:color w:val="000000"/>
        </w:rPr>
        <w:t xml:space="preserve">Hartimi i </w:t>
      </w:r>
      <w:r w:rsidR="004540E1">
        <w:rPr>
          <w:color w:val="000000"/>
        </w:rPr>
        <w:t>teksteve (copywriting)</w:t>
      </w:r>
      <w:r>
        <w:rPr>
          <w:color w:val="000000"/>
        </w:rPr>
        <w:t xml:space="preserve"> edukativ</w:t>
      </w:r>
      <w:r w:rsidR="004540E1">
        <w:rPr>
          <w:color w:val="000000"/>
        </w:rPr>
        <w:t>e</w:t>
      </w:r>
      <w:r>
        <w:rPr>
          <w:color w:val="000000"/>
        </w:rPr>
        <w:t xml:space="preserve"> dhe i lehtë për t'u ndjekur që përmban udhëzime të hollësishme për audiencën e synuar.</w:t>
      </w:r>
    </w:p>
    <w:p w14:paraId="4E2579FA" w14:textId="77777777" w:rsidR="002028CB" w:rsidRDefault="004B4550">
      <w:pPr>
        <w:jc w:val="both"/>
      </w:pPr>
      <w:r>
        <w:rPr>
          <w:b/>
        </w:rPr>
        <w:t xml:space="preserve">Konfidencialiteti i informacionit: </w:t>
      </w:r>
      <w:r>
        <w:t>Të gjitha dokumentet dhe të dhënat e mbledhura do të trajtohen me konfidencialitet dhe do të përdoren ekskluzivisht për qëllime analize. Të gjitha të dhënat dhe informacionet do t'i dorëzohen ITS për ruajtje të sigurt në përputhje me politikat dhe procedurat e përcaktuara.</w:t>
      </w:r>
    </w:p>
    <w:p w14:paraId="0EC53901" w14:textId="77777777" w:rsidR="002028CB" w:rsidRDefault="004B4550">
      <w:pPr>
        <w:jc w:val="both"/>
      </w:pPr>
      <w:r>
        <w:rPr>
          <w:b/>
        </w:rPr>
        <w:t xml:space="preserve">Të drejtat e pronësisë intelektuale: </w:t>
      </w:r>
      <w:r>
        <w:t>ITS ruan të gjitha të drejtat e pronësisë intelektuale që i përkasin këtij projekti dhe të gjitha dokumentet dhe të dhënat përkatëse. Asnjë kopje e dokumenteve ose e të dhënave nuk do të përdoret, riprodhohet ose ndahet me palët e treta pa autorizimin me shkrim të ITS.</w:t>
      </w:r>
    </w:p>
    <w:p w14:paraId="3F2882ED" w14:textId="77777777" w:rsidR="002028CB" w:rsidRDefault="004B4550">
      <w:pPr>
        <w:pStyle w:val="Heading1"/>
        <w:jc w:val="both"/>
      </w:pPr>
      <w:r>
        <w:t>4. Fusha e punës</w:t>
      </w:r>
    </w:p>
    <w:p w14:paraId="10339458" w14:textId="14424E10" w:rsidR="002028CB" w:rsidRDefault="004B4550">
      <w:pPr>
        <w:jc w:val="both"/>
      </w:pPr>
      <w:r>
        <w:t>Kompania e angazhuar</w:t>
      </w:r>
      <w:r w:rsidR="004540E1">
        <w:t xml:space="preserve"> </w:t>
      </w:r>
      <w:r>
        <w:t>pritet të zbatojë komponentët e mëposhtëm:</w:t>
      </w:r>
    </w:p>
    <w:p w14:paraId="25CEAA12" w14:textId="77777777" w:rsidR="002028CB" w:rsidRDefault="004B4550">
      <w:pPr>
        <w:jc w:val="both"/>
      </w:pPr>
      <w:r>
        <w:rPr>
          <w:b/>
        </w:rPr>
        <w:t>KOMPONENTI I. Përgatitni 36 postime me tekst dhe fotografi në mediat sociale me informacion në lidhje me mbrojtjen e të dhënave dhe të drejtat dixhitale</w:t>
      </w:r>
    </w:p>
    <w:p w14:paraId="045F2D90" w14:textId="77777777" w:rsidR="002028CB" w:rsidRDefault="004B4550">
      <w:pPr>
        <w:numPr>
          <w:ilvl w:val="0"/>
          <w:numId w:val="2"/>
        </w:numPr>
        <w:pBdr>
          <w:top w:val="nil"/>
          <w:left w:val="nil"/>
          <w:bottom w:val="nil"/>
          <w:right w:val="nil"/>
          <w:between w:val="nil"/>
        </w:pBdr>
        <w:spacing w:after="0"/>
        <w:jc w:val="both"/>
      </w:pPr>
      <w:r>
        <w:rPr>
          <w:color w:val="000000"/>
        </w:rPr>
        <w:t>Angazhohuni me ekipin e ITS për të marrë ide fillestare në lidhje me përmbajtjen dhe kërkesat e përgjithshme të postimeve të mediave sociale.</w:t>
      </w:r>
    </w:p>
    <w:p w14:paraId="5263A98E" w14:textId="1EB82822" w:rsidR="002028CB" w:rsidRDefault="004B4550">
      <w:pPr>
        <w:numPr>
          <w:ilvl w:val="0"/>
          <w:numId w:val="2"/>
        </w:numPr>
        <w:pBdr>
          <w:top w:val="nil"/>
          <w:left w:val="nil"/>
          <w:bottom w:val="nil"/>
          <w:right w:val="nil"/>
          <w:between w:val="nil"/>
        </w:pBdr>
        <w:spacing w:after="0"/>
        <w:jc w:val="both"/>
      </w:pPr>
      <w:r>
        <w:rPr>
          <w:color w:val="000000"/>
        </w:rPr>
        <w:t xml:space="preserve">Përgatitni propozime për postimet e mediave sociale në formate të </w:t>
      </w:r>
      <w:r w:rsidR="004540E1">
        <w:rPr>
          <w:color w:val="000000"/>
        </w:rPr>
        <w:t xml:space="preserve">njohura </w:t>
      </w:r>
      <w:r>
        <w:rPr>
          <w:color w:val="000000"/>
        </w:rPr>
        <w:t>brenda afateve kohore të dakorduara.</w:t>
      </w:r>
    </w:p>
    <w:p w14:paraId="546C87EC" w14:textId="2B9668CD" w:rsidR="002028CB" w:rsidRDefault="004540E1">
      <w:pPr>
        <w:numPr>
          <w:ilvl w:val="0"/>
          <w:numId w:val="2"/>
        </w:numPr>
        <w:pBdr>
          <w:top w:val="nil"/>
          <w:left w:val="nil"/>
          <w:bottom w:val="nil"/>
          <w:right w:val="nil"/>
          <w:between w:val="nil"/>
        </w:pBdr>
        <w:spacing w:after="0"/>
        <w:jc w:val="both"/>
      </w:pPr>
      <w:r>
        <w:rPr>
          <w:color w:val="000000"/>
        </w:rPr>
        <w:t>Pranoni</w:t>
      </w:r>
      <w:r w:rsidR="004B4550">
        <w:rPr>
          <w:color w:val="000000"/>
        </w:rPr>
        <w:t xml:space="preserve"> </w:t>
      </w:r>
      <w:r>
        <w:rPr>
          <w:color w:val="000000"/>
        </w:rPr>
        <w:t xml:space="preserve">informata kthyese (feedback) </w:t>
      </w:r>
      <w:r w:rsidR="004B4550">
        <w:rPr>
          <w:color w:val="000000"/>
        </w:rPr>
        <w:t>nga ekipi i ITS dhe zbatoni ndryshimet e kërkuara në rezultatet.</w:t>
      </w:r>
    </w:p>
    <w:p w14:paraId="62A752AE" w14:textId="77777777" w:rsidR="002028CB" w:rsidRDefault="004B4550">
      <w:pPr>
        <w:numPr>
          <w:ilvl w:val="0"/>
          <w:numId w:val="2"/>
        </w:numPr>
        <w:pBdr>
          <w:top w:val="nil"/>
          <w:left w:val="nil"/>
          <w:bottom w:val="nil"/>
          <w:right w:val="nil"/>
          <w:between w:val="nil"/>
        </w:pBdr>
        <w:spacing w:after="0"/>
        <w:jc w:val="both"/>
      </w:pPr>
      <w:r>
        <w:rPr>
          <w:color w:val="000000"/>
        </w:rPr>
        <w:t>Ndani imazhet me madhësi të plotë në një format të lehtë për t'u lexuar dhe një metodë komunikimi të dakorduar.</w:t>
      </w:r>
    </w:p>
    <w:p w14:paraId="481BD745" w14:textId="4275E76C" w:rsidR="002028CB" w:rsidRDefault="004B4550">
      <w:pPr>
        <w:numPr>
          <w:ilvl w:val="0"/>
          <w:numId w:val="2"/>
        </w:numPr>
        <w:pBdr>
          <w:top w:val="nil"/>
          <w:left w:val="nil"/>
          <w:bottom w:val="nil"/>
          <w:right w:val="nil"/>
          <w:between w:val="nil"/>
        </w:pBdr>
        <w:spacing w:after="0"/>
        <w:jc w:val="both"/>
      </w:pPr>
      <w:r>
        <w:rPr>
          <w:color w:val="000000"/>
        </w:rPr>
        <w:t xml:space="preserve">Përgatitni shkrimin </w:t>
      </w:r>
      <w:r w:rsidR="004540E1">
        <w:rPr>
          <w:color w:val="000000"/>
        </w:rPr>
        <w:t xml:space="preserve">(copywriting) </w:t>
      </w:r>
      <w:r>
        <w:rPr>
          <w:color w:val="000000"/>
        </w:rPr>
        <w:t>për imazhet që ofrojnë informacion të detajuar rreth temës dhe udhëzime për veprime të mëtejshme.</w:t>
      </w:r>
    </w:p>
    <w:p w14:paraId="6F1E47C8" w14:textId="77777777" w:rsidR="002028CB" w:rsidRDefault="004B4550">
      <w:pPr>
        <w:numPr>
          <w:ilvl w:val="0"/>
          <w:numId w:val="2"/>
        </w:numPr>
        <w:pBdr>
          <w:top w:val="nil"/>
          <w:left w:val="nil"/>
          <w:bottom w:val="nil"/>
          <w:right w:val="nil"/>
          <w:between w:val="nil"/>
        </w:pBdr>
        <w:jc w:val="both"/>
      </w:pPr>
      <w:r>
        <w:rPr>
          <w:color w:val="000000"/>
        </w:rPr>
        <w:t>Jepni rekomandime ekipit të ITS në lidhje me aranzhimet optimale për publikimin e përmbajtjes në mënyrë që të maksimizohet shtrirja dhe efektiviteti.</w:t>
      </w:r>
    </w:p>
    <w:p w14:paraId="77B4BC10" w14:textId="77777777" w:rsidR="002028CB" w:rsidRDefault="004B4550">
      <w:pPr>
        <w:jc w:val="both"/>
        <w:rPr>
          <w:b/>
        </w:rPr>
      </w:pPr>
      <w:r>
        <w:rPr>
          <w:b/>
        </w:rPr>
        <w:t>KOMPONENTI II. Përgatitni 6 video me përmbajtje edukative në lidhje me mbrojtjen e të dhënave dhe të drejtat dixhitale</w:t>
      </w:r>
    </w:p>
    <w:p w14:paraId="6B9FAE1E" w14:textId="77777777" w:rsidR="002028CB" w:rsidRDefault="004B4550">
      <w:pPr>
        <w:numPr>
          <w:ilvl w:val="0"/>
          <w:numId w:val="2"/>
        </w:numPr>
        <w:pBdr>
          <w:top w:val="nil"/>
          <w:left w:val="nil"/>
          <w:bottom w:val="nil"/>
          <w:right w:val="nil"/>
          <w:between w:val="nil"/>
        </w:pBdr>
        <w:spacing w:after="0"/>
        <w:jc w:val="both"/>
      </w:pPr>
      <w:r>
        <w:rPr>
          <w:color w:val="000000"/>
        </w:rPr>
        <w:t>Angazhohuni me ekipin e ITS për të marrë ide fillestare në lidhje me përmbajtjen dhe kërkesat e përgjithshme të postimeve të videove në mediat sociale.</w:t>
      </w:r>
    </w:p>
    <w:p w14:paraId="67E79BEC" w14:textId="77777777" w:rsidR="002028CB" w:rsidRDefault="004B4550">
      <w:pPr>
        <w:numPr>
          <w:ilvl w:val="0"/>
          <w:numId w:val="2"/>
        </w:numPr>
        <w:pBdr>
          <w:top w:val="nil"/>
          <w:left w:val="nil"/>
          <w:bottom w:val="nil"/>
          <w:right w:val="nil"/>
          <w:between w:val="nil"/>
        </w:pBdr>
        <w:spacing w:after="0"/>
        <w:jc w:val="both"/>
      </w:pPr>
      <w:r>
        <w:rPr>
          <w:color w:val="000000"/>
        </w:rPr>
        <w:t>Përgatitni propozime për postimet e videove në mediat sociale në kohëzgjatje prej 60 sekondash, brenda afateve kohore të dakorduara.</w:t>
      </w:r>
    </w:p>
    <w:p w14:paraId="3B55A3A5" w14:textId="538EC534" w:rsidR="002028CB" w:rsidRDefault="004540E1">
      <w:pPr>
        <w:numPr>
          <w:ilvl w:val="0"/>
          <w:numId w:val="2"/>
        </w:numPr>
        <w:pBdr>
          <w:top w:val="nil"/>
          <w:left w:val="nil"/>
          <w:bottom w:val="nil"/>
          <w:right w:val="nil"/>
          <w:between w:val="nil"/>
        </w:pBdr>
        <w:spacing w:after="0"/>
        <w:jc w:val="both"/>
      </w:pPr>
      <w:r>
        <w:rPr>
          <w:color w:val="000000"/>
        </w:rPr>
        <w:t>Pranoni</w:t>
      </w:r>
      <w:r w:rsidR="004B4550">
        <w:rPr>
          <w:color w:val="000000"/>
        </w:rPr>
        <w:t xml:space="preserve"> </w:t>
      </w:r>
      <w:r>
        <w:rPr>
          <w:color w:val="000000"/>
        </w:rPr>
        <w:t>informata kthyese (feedback)</w:t>
      </w:r>
      <w:r w:rsidR="004B4550">
        <w:rPr>
          <w:color w:val="000000"/>
        </w:rPr>
        <w:t xml:space="preserve"> nga ekipi i ITS dhe zbatoni ndryshimet e kërkuara në rezultatet.</w:t>
      </w:r>
    </w:p>
    <w:p w14:paraId="5F73D4E5" w14:textId="77777777" w:rsidR="002028CB" w:rsidRDefault="004B4550">
      <w:pPr>
        <w:numPr>
          <w:ilvl w:val="0"/>
          <w:numId w:val="2"/>
        </w:numPr>
        <w:pBdr>
          <w:top w:val="nil"/>
          <w:left w:val="nil"/>
          <w:bottom w:val="nil"/>
          <w:right w:val="nil"/>
          <w:between w:val="nil"/>
        </w:pBdr>
        <w:spacing w:after="0"/>
        <w:jc w:val="both"/>
      </w:pPr>
      <w:r>
        <w:rPr>
          <w:color w:val="000000"/>
        </w:rPr>
        <w:t>Ndani videot me rezolucion të plotë me ekipin e ITS në formatet video më të përdorura, të përshtatshme për postimet në mediat sociale.</w:t>
      </w:r>
    </w:p>
    <w:p w14:paraId="79BB3ADE" w14:textId="66EEC18E" w:rsidR="002028CB" w:rsidRDefault="004B4550">
      <w:pPr>
        <w:numPr>
          <w:ilvl w:val="0"/>
          <w:numId w:val="2"/>
        </w:numPr>
        <w:pBdr>
          <w:top w:val="nil"/>
          <w:left w:val="nil"/>
          <w:bottom w:val="nil"/>
          <w:right w:val="nil"/>
          <w:between w:val="nil"/>
        </w:pBdr>
        <w:spacing w:after="0"/>
        <w:jc w:val="both"/>
      </w:pPr>
      <w:r>
        <w:rPr>
          <w:color w:val="000000"/>
        </w:rPr>
        <w:lastRenderedPageBreak/>
        <w:t xml:space="preserve">Përgatitni shkrimin </w:t>
      </w:r>
      <w:r w:rsidR="004540E1">
        <w:rPr>
          <w:color w:val="000000"/>
        </w:rPr>
        <w:t>(copywriting)</w:t>
      </w:r>
      <w:r>
        <w:rPr>
          <w:color w:val="000000"/>
        </w:rPr>
        <w:t xml:space="preserve"> për të ndjekur videot që ofrojnë një pamje gjithëpërfshirëse të përmbajtjes dhe udhëzime për veprime të mëtejshme.</w:t>
      </w:r>
    </w:p>
    <w:p w14:paraId="1ECE4326" w14:textId="77777777" w:rsidR="002028CB" w:rsidRDefault="004B4550">
      <w:pPr>
        <w:numPr>
          <w:ilvl w:val="0"/>
          <w:numId w:val="2"/>
        </w:numPr>
        <w:pBdr>
          <w:top w:val="nil"/>
          <w:left w:val="nil"/>
          <w:bottom w:val="nil"/>
          <w:right w:val="nil"/>
          <w:between w:val="nil"/>
        </w:pBdr>
        <w:jc w:val="both"/>
      </w:pPr>
      <w:r>
        <w:rPr>
          <w:color w:val="000000"/>
        </w:rPr>
        <w:t>Jepni rekomandime ekipit të ITS në lidhje me aranzhimet optimale për publikimin e përmbajtjes në mënyrë që të maksimizohet shtrirja dhe efektiviteti.</w:t>
      </w:r>
    </w:p>
    <w:p w14:paraId="69F2BCE1" w14:textId="7717BA54" w:rsidR="002028CB" w:rsidRDefault="004B4550">
      <w:pPr>
        <w:jc w:val="both"/>
        <w:rPr>
          <w:b/>
        </w:rPr>
      </w:pPr>
      <w:r>
        <w:rPr>
          <w:b/>
        </w:rPr>
        <w:t>KOMPONENTI III. Promovimi dhe</w:t>
      </w:r>
      <w:r w:rsidR="004540E1">
        <w:rPr>
          <w:b/>
        </w:rPr>
        <w:t xml:space="preserve"> nxitja (boost)</w:t>
      </w:r>
      <w:r>
        <w:rPr>
          <w:b/>
        </w:rPr>
        <w:t xml:space="preserve"> e përmbajtjes së krijuar në platformat e mediave sociale</w:t>
      </w:r>
    </w:p>
    <w:p w14:paraId="2044E6CC" w14:textId="276F374F" w:rsidR="002028CB" w:rsidRPr="00FE3809" w:rsidRDefault="004B4550" w:rsidP="004540E1">
      <w:pPr>
        <w:numPr>
          <w:ilvl w:val="0"/>
          <w:numId w:val="2"/>
        </w:numPr>
        <w:pBdr>
          <w:top w:val="nil"/>
          <w:left w:val="nil"/>
          <w:bottom w:val="nil"/>
          <w:right w:val="nil"/>
          <w:between w:val="nil"/>
        </w:pBdr>
        <w:spacing w:after="0"/>
        <w:jc w:val="both"/>
        <w:rPr>
          <w:color w:val="000000"/>
        </w:rPr>
      </w:pPr>
      <w:r w:rsidRPr="00FE3809">
        <w:rPr>
          <w:color w:val="000000"/>
        </w:rPr>
        <w:t>Bashkëpunoni me ekipin e ITS për të zhvilluar një strategji gjithëpërfshirëse të promovimit të mediave sociale që përputhet me objektivat e përgjithshme të Fushatës së Ndërgjegjësimit të Informacionit të Agjencisë së Informacionit dhe Privatësisë . Kjo strategji duhet të detajojë platformat që do të përdoren, audiencën e synuar për secilën pjesë të përmbajtjes dhe kohën e promovimeve.</w:t>
      </w:r>
    </w:p>
    <w:p w14:paraId="0E56D889" w14:textId="77777777" w:rsidR="002028CB" w:rsidRPr="00FE3809" w:rsidRDefault="004B4550" w:rsidP="004540E1">
      <w:pPr>
        <w:numPr>
          <w:ilvl w:val="0"/>
          <w:numId w:val="2"/>
        </w:numPr>
        <w:pBdr>
          <w:top w:val="nil"/>
          <w:left w:val="nil"/>
          <w:bottom w:val="nil"/>
          <w:right w:val="nil"/>
          <w:between w:val="nil"/>
        </w:pBdr>
        <w:spacing w:after="0"/>
        <w:jc w:val="both"/>
        <w:rPr>
          <w:color w:val="000000"/>
        </w:rPr>
      </w:pPr>
      <w:r w:rsidRPr="00FE3809">
        <w:rPr>
          <w:color w:val="000000"/>
        </w:rPr>
        <w:t>Propozoni një buxhet të caktuar posaçërisht për rritjen e postimeve dhe reklamave në platformat e mediave sociale. Ky buxhet duhet të optimizohet për të siguruar shkallën më të mirë të mundshme të arritjes dhe angazhimit brenda fondeve të alokuara.</w:t>
      </w:r>
    </w:p>
    <w:p w14:paraId="34BDAAA1" w14:textId="526B0F4E" w:rsidR="002028CB" w:rsidRPr="00FE3809" w:rsidRDefault="004B4550" w:rsidP="004540E1">
      <w:pPr>
        <w:numPr>
          <w:ilvl w:val="0"/>
          <w:numId w:val="2"/>
        </w:numPr>
        <w:pBdr>
          <w:top w:val="nil"/>
          <w:left w:val="nil"/>
          <w:bottom w:val="nil"/>
          <w:right w:val="nil"/>
          <w:between w:val="nil"/>
        </w:pBdr>
        <w:spacing w:after="0"/>
        <w:jc w:val="both"/>
        <w:rPr>
          <w:color w:val="000000"/>
        </w:rPr>
      </w:pPr>
      <w:r w:rsidRPr="00FE3809">
        <w:rPr>
          <w:color w:val="000000"/>
        </w:rPr>
        <w:t xml:space="preserve">Zbatoni </w:t>
      </w:r>
      <w:r w:rsidR="004540E1">
        <w:rPr>
          <w:color w:val="000000"/>
        </w:rPr>
        <w:t>nxitjen (boost)</w:t>
      </w:r>
      <w:r w:rsidRPr="00FE3809">
        <w:rPr>
          <w:color w:val="000000"/>
        </w:rPr>
        <w:t xml:space="preserve"> e postimeve të përzgjedhura në mediat sociale sipas strategjisë dhe buxhetit të rënë dakord. Kjo përfshin ngritjen e fushatave të synuara reklamuese në platforma të tilla si Facebook, Instagram, Twitter dhe LinkedIn për të rritur dukshmërinë e përmbajtjes edukative.</w:t>
      </w:r>
    </w:p>
    <w:p w14:paraId="6B47B86E" w14:textId="77777777" w:rsidR="002028CB" w:rsidRPr="00FE3809" w:rsidRDefault="004B4550" w:rsidP="004540E1">
      <w:pPr>
        <w:numPr>
          <w:ilvl w:val="0"/>
          <w:numId w:val="2"/>
        </w:numPr>
        <w:pBdr>
          <w:top w:val="nil"/>
          <w:left w:val="nil"/>
          <w:bottom w:val="nil"/>
          <w:right w:val="nil"/>
          <w:between w:val="nil"/>
        </w:pBdr>
        <w:spacing w:after="0"/>
        <w:jc w:val="both"/>
        <w:rPr>
          <w:color w:val="000000"/>
        </w:rPr>
      </w:pPr>
      <w:r w:rsidRPr="00FE3809">
        <w:rPr>
          <w:color w:val="000000"/>
        </w:rPr>
        <w:t>Monitoroni performancën e postimeve dhe reklamave të rritura, duke analizuar metrikat si arritja, angazhimi, klikimet dhe konvertimet. Ofroni raporte të rregullta për ekipin e ITS me njohuri dhe rekomandime për rregullimin e strategjive për të përmirësuar performancën e fushatës.</w:t>
      </w:r>
    </w:p>
    <w:p w14:paraId="397B3AEA" w14:textId="77777777" w:rsidR="002028CB" w:rsidRPr="00FE3809" w:rsidRDefault="004B4550" w:rsidP="00FE3809">
      <w:pPr>
        <w:numPr>
          <w:ilvl w:val="0"/>
          <w:numId w:val="2"/>
        </w:numPr>
        <w:pBdr>
          <w:top w:val="nil"/>
          <w:left w:val="nil"/>
          <w:bottom w:val="nil"/>
          <w:right w:val="nil"/>
          <w:between w:val="nil"/>
        </w:pBdr>
        <w:jc w:val="both"/>
        <w:rPr>
          <w:color w:val="000000"/>
        </w:rPr>
      </w:pPr>
      <w:r w:rsidRPr="00FE3809">
        <w:rPr>
          <w:color w:val="000000"/>
        </w:rPr>
        <w:t>Veproni në bazë të reagimeve nga ekipi i ITS dhe njohurive analitike për të përmirësuar dhe optimizuar përpjekjet e vazhdueshme të promovimit, duke siguruar që fushata të mbetet efektive dhe efikase gjatë gjithë kohëzgjatjes së saj.</w:t>
      </w:r>
    </w:p>
    <w:p w14:paraId="478FECAA" w14:textId="77777777" w:rsidR="002028CB" w:rsidRDefault="004B4550">
      <w:pPr>
        <w:jc w:val="both"/>
        <w:rPr>
          <w:b/>
        </w:rPr>
      </w:pPr>
      <w:r>
        <w:rPr>
          <w:b/>
        </w:rPr>
        <w:t>Monitorimi dhe Mbikëqyrja e Vlerësimit nga Ekspertët e Komponentit</w:t>
      </w:r>
    </w:p>
    <w:p w14:paraId="7776FE6F" w14:textId="77777777" w:rsidR="002028CB" w:rsidRDefault="004B4550">
      <w:pPr>
        <w:jc w:val="both"/>
      </w:pPr>
      <w:r>
        <w:t>Aspekti i Monitorimit dhe Vlerësimit të këtij projekti do të mbikëqyret nga anëtarët e ekipit të ITS. ITS do të marrë përgjegjësinë për zhvillimin dhe zbatimin e një plani gjithëpërfshirës monitorimi dhe vlerësimi (M&amp;E), duke integruar pikat kryesore, rezultatet dhe rezultatet, së bashku me metodat e mbledhjes së të dhënave brenda komponentëve të tyre përkatës. Mekanizmat për komunikim të vazhdueshëm dhe reagime me ITS dhe partnerët do të krijohen për të nxitur një mjedis bashkëpunues për mësim dhe përmirësim të vazhdueshëm. Rregullimet do të bëhen sipas nevojës bazuar në perceptimet e kombinuara të të gjitha palëve të përfshira.</w:t>
      </w:r>
    </w:p>
    <w:p w14:paraId="2B0BEFDF" w14:textId="77777777" w:rsidR="002028CB" w:rsidRDefault="004B4550">
      <w:pPr>
        <w:pStyle w:val="Heading1"/>
        <w:jc w:val="both"/>
      </w:pPr>
      <w:r>
        <w:t>5. Të dorëzueshme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6589"/>
        <w:gridCol w:w="2223"/>
      </w:tblGrid>
      <w:tr w:rsidR="002028CB" w14:paraId="18DA3848" w14:textId="77777777">
        <w:tc>
          <w:tcPr>
            <w:tcW w:w="538" w:type="dxa"/>
            <w:shd w:val="clear" w:color="auto" w:fill="AEAAAA"/>
          </w:tcPr>
          <w:p w14:paraId="03FE081F" w14:textId="77777777" w:rsidR="002028CB" w:rsidRDefault="004B4550">
            <w:pPr>
              <w:jc w:val="center"/>
              <w:rPr>
                <w:b/>
              </w:rPr>
            </w:pPr>
            <w:r>
              <w:rPr>
                <w:b/>
              </w:rPr>
              <w:t>Nr.</w:t>
            </w:r>
          </w:p>
        </w:tc>
        <w:tc>
          <w:tcPr>
            <w:tcW w:w="6589" w:type="dxa"/>
            <w:shd w:val="clear" w:color="auto" w:fill="AEAAAA"/>
          </w:tcPr>
          <w:p w14:paraId="438A3307" w14:textId="77777777" w:rsidR="002028CB" w:rsidRDefault="004B4550">
            <w:pPr>
              <w:jc w:val="center"/>
              <w:rPr>
                <w:b/>
              </w:rPr>
            </w:pPr>
            <w:r>
              <w:rPr>
                <w:b/>
              </w:rPr>
              <w:t>Detyrat</w:t>
            </w:r>
          </w:p>
        </w:tc>
        <w:tc>
          <w:tcPr>
            <w:tcW w:w="2223" w:type="dxa"/>
            <w:shd w:val="clear" w:color="auto" w:fill="AEAAAA"/>
          </w:tcPr>
          <w:p w14:paraId="27D45C00" w14:textId="77777777" w:rsidR="002028CB" w:rsidRDefault="004B4550">
            <w:pPr>
              <w:jc w:val="center"/>
              <w:rPr>
                <w:b/>
              </w:rPr>
            </w:pPr>
            <w:r>
              <w:rPr>
                <w:b/>
              </w:rPr>
              <w:t>Afati i fundit</w:t>
            </w:r>
          </w:p>
        </w:tc>
      </w:tr>
      <w:tr w:rsidR="002028CB" w14:paraId="5B488E70" w14:textId="77777777">
        <w:tc>
          <w:tcPr>
            <w:tcW w:w="538" w:type="dxa"/>
          </w:tcPr>
          <w:p w14:paraId="06ADD230" w14:textId="77777777" w:rsidR="002028CB" w:rsidRDefault="004B4550">
            <w:pPr>
              <w:jc w:val="both"/>
              <w:rPr>
                <w:b/>
              </w:rPr>
            </w:pPr>
            <w:r>
              <w:rPr>
                <w:b/>
              </w:rPr>
              <w:t>1</w:t>
            </w:r>
          </w:p>
        </w:tc>
        <w:tc>
          <w:tcPr>
            <w:tcW w:w="6589" w:type="dxa"/>
          </w:tcPr>
          <w:p w14:paraId="55653F79" w14:textId="77777777" w:rsidR="002028CB" w:rsidRDefault="004B4550">
            <w:pPr>
              <w:jc w:val="both"/>
              <w:rPr>
                <w:b/>
              </w:rPr>
            </w:pPr>
            <w:r>
              <w:t>Email që konfirmon Shprehjen e Interesit</w:t>
            </w:r>
          </w:p>
        </w:tc>
        <w:tc>
          <w:tcPr>
            <w:tcW w:w="2223" w:type="dxa"/>
          </w:tcPr>
          <w:p w14:paraId="2840DC1A" w14:textId="33134BC7" w:rsidR="002028CB" w:rsidRDefault="00045832" w:rsidP="00FE3809">
            <w:pPr>
              <w:jc w:val="center"/>
            </w:pPr>
            <w:r>
              <w:t>22</w:t>
            </w:r>
            <w:r w:rsidR="004B4550">
              <w:t xml:space="preserve"> mars 2024</w:t>
            </w:r>
          </w:p>
        </w:tc>
      </w:tr>
      <w:tr w:rsidR="002028CB" w14:paraId="66EF7D2B" w14:textId="77777777">
        <w:tc>
          <w:tcPr>
            <w:tcW w:w="538" w:type="dxa"/>
          </w:tcPr>
          <w:p w14:paraId="503F849B" w14:textId="53AA39F9" w:rsidR="002028CB" w:rsidRDefault="00DA7EE7">
            <w:pPr>
              <w:jc w:val="both"/>
              <w:rPr>
                <w:b/>
              </w:rPr>
            </w:pPr>
            <w:r>
              <w:rPr>
                <w:b/>
              </w:rPr>
              <w:t>2</w:t>
            </w:r>
          </w:p>
        </w:tc>
        <w:tc>
          <w:tcPr>
            <w:tcW w:w="6589" w:type="dxa"/>
          </w:tcPr>
          <w:p w14:paraId="2FCF16E9" w14:textId="77777777" w:rsidR="002028CB" w:rsidRDefault="004B4550">
            <w:pPr>
              <w:jc w:val="both"/>
            </w:pPr>
            <w:r>
              <w:t>Paraqisni Propozimin Teknik, duke përfshirë detajet e mëposhtme për secilin nga Komponentët e përshkruar në këtë ToR : CV-të e detajuara, përvojën përkatëse të kompanisë dhe mostrat e produkteve nga projektet e mëparshme.</w:t>
            </w:r>
          </w:p>
        </w:tc>
        <w:tc>
          <w:tcPr>
            <w:tcW w:w="2223" w:type="dxa"/>
          </w:tcPr>
          <w:p w14:paraId="36AEB200" w14:textId="4FD91D30" w:rsidR="002028CB" w:rsidRDefault="00045832" w:rsidP="00FE3809">
            <w:pPr>
              <w:jc w:val="center"/>
            </w:pPr>
            <w:r>
              <w:t>22</w:t>
            </w:r>
            <w:r w:rsidR="004B4550">
              <w:t xml:space="preserve"> mars 2024</w:t>
            </w:r>
          </w:p>
        </w:tc>
      </w:tr>
      <w:tr w:rsidR="002028CB" w14:paraId="485F9262" w14:textId="77777777">
        <w:tc>
          <w:tcPr>
            <w:tcW w:w="538" w:type="dxa"/>
          </w:tcPr>
          <w:p w14:paraId="0CA1CC4A" w14:textId="54AD7CBC" w:rsidR="002028CB" w:rsidRDefault="00DA7EE7">
            <w:pPr>
              <w:jc w:val="both"/>
              <w:rPr>
                <w:b/>
              </w:rPr>
            </w:pPr>
            <w:r>
              <w:rPr>
                <w:b/>
              </w:rPr>
              <w:t>3</w:t>
            </w:r>
          </w:p>
        </w:tc>
        <w:tc>
          <w:tcPr>
            <w:tcW w:w="6589" w:type="dxa"/>
          </w:tcPr>
          <w:p w14:paraId="3626FB6A" w14:textId="77777777" w:rsidR="002028CB" w:rsidRDefault="004B4550">
            <w:pPr>
              <w:jc w:val="both"/>
            </w:pPr>
            <w:r>
              <w:rPr>
                <w:color w:val="000000"/>
              </w:rPr>
              <w:t>Paraqisni propozimin financiar pa TVSH</w:t>
            </w:r>
          </w:p>
        </w:tc>
        <w:tc>
          <w:tcPr>
            <w:tcW w:w="2223" w:type="dxa"/>
          </w:tcPr>
          <w:p w14:paraId="1087E4C2" w14:textId="38920BF0" w:rsidR="002028CB" w:rsidRDefault="00045832" w:rsidP="00FE3809">
            <w:pPr>
              <w:jc w:val="center"/>
            </w:pPr>
            <w:r>
              <w:t>22</w:t>
            </w:r>
            <w:r w:rsidR="004B4550">
              <w:t xml:space="preserve"> mars 2024</w:t>
            </w:r>
          </w:p>
        </w:tc>
      </w:tr>
      <w:tr w:rsidR="002028CB" w14:paraId="1A6C467F" w14:textId="77777777">
        <w:tc>
          <w:tcPr>
            <w:tcW w:w="538" w:type="dxa"/>
          </w:tcPr>
          <w:p w14:paraId="157FA461" w14:textId="253DB347" w:rsidR="002028CB" w:rsidRDefault="00DA7EE7">
            <w:pPr>
              <w:jc w:val="both"/>
              <w:rPr>
                <w:b/>
              </w:rPr>
            </w:pPr>
            <w:r>
              <w:rPr>
                <w:b/>
              </w:rPr>
              <w:t>4</w:t>
            </w:r>
          </w:p>
        </w:tc>
        <w:tc>
          <w:tcPr>
            <w:tcW w:w="6589" w:type="dxa"/>
          </w:tcPr>
          <w:p w14:paraId="5CD1CA7E" w14:textId="77777777" w:rsidR="002028CB" w:rsidRDefault="004B4550">
            <w:pPr>
              <w:jc w:val="both"/>
              <w:rPr>
                <w:color w:val="000000"/>
              </w:rPr>
            </w:pPr>
            <w:r>
              <w:t xml:space="preserve">Paraqisni draftin e </w:t>
            </w:r>
            <w:r>
              <w:rPr>
                <w:b/>
              </w:rPr>
              <w:t xml:space="preserve">36 postimeve me tekst dhe fotografi në mediat sociale me informacion në lidhje me mbrojtjen e të dhënave dhe të </w:t>
            </w:r>
            <w:r>
              <w:rPr>
                <w:b/>
              </w:rPr>
              <w:lastRenderedPageBreak/>
              <w:t xml:space="preserve">drejtat dixhitale </w:t>
            </w:r>
            <w:r>
              <w:t>në format elektronik në ITS për reagime, si dhe versionin përfundimtar, në përputhje me afatin kohor të rënë dakord të specifikuar në kontratë, në lidhje me këtë Komponent.</w:t>
            </w:r>
          </w:p>
        </w:tc>
        <w:tc>
          <w:tcPr>
            <w:tcW w:w="2223" w:type="dxa"/>
          </w:tcPr>
          <w:p w14:paraId="775238E2" w14:textId="77777777" w:rsidR="002028CB" w:rsidRDefault="004B4550" w:rsidP="00FE3809">
            <w:pPr>
              <w:jc w:val="center"/>
            </w:pPr>
            <w:r>
              <w:lastRenderedPageBreak/>
              <w:t>Hartuar deri më 14 Prill 2024</w:t>
            </w:r>
          </w:p>
          <w:p w14:paraId="285D32A2" w14:textId="77777777" w:rsidR="002028CB" w:rsidRDefault="004B4550" w:rsidP="00FE3809">
            <w:pPr>
              <w:jc w:val="center"/>
              <w:rPr>
                <w:b/>
              </w:rPr>
            </w:pPr>
            <w:r>
              <w:lastRenderedPageBreak/>
              <w:t>Përfundimi deri më 30 Prill 2024</w:t>
            </w:r>
          </w:p>
        </w:tc>
      </w:tr>
      <w:tr w:rsidR="002028CB" w14:paraId="3966741C" w14:textId="77777777">
        <w:tc>
          <w:tcPr>
            <w:tcW w:w="538" w:type="dxa"/>
          </w:tcPr>
          <w:p w14:paraId="46D94137" w14:textId="418A2970" w:rsidR="002028CB" w:rsidRDefault="00DA7EE7">
            <w:pPr>
              <w:jc w:val="both"/>
              <w:rPr>
                <w:b/>
              </w:rPr>
            </w:pPr>
            <w:r>
              <w:rPr>
                <w:b/>
              </w:rPr>
              <w:lastRenderedPageBreak/>
              <w:t>5</w:t>
            </w:r>
          </w:p>
        </w:tc>
        <w:tc>
          <w:tcPr>
            <w:tcW w:w="6589" w:type="dxa"/>
          </w:tcPr>
          <w:p w14:paraId="17A7B4F9" w14:textId="77777777" w:rsidR="002028CB" w:rsidRDefault="004B4550">
            <w:pPr>
              <w:jc w:val="both"/>
            </w:pPr>
            <w:r>
              <w:t xml:space="preserve">Paraqisni draftin e </w:t>
            </w:r>
            <w:r>
              <w:rPr>
                <w:b/>
              </w:rPr>
              <w:t xml:space="preserve">6 videove me përmbajtje edukative në lidhje me mbrojtjen e të dhënave dhe të drejtat dixhitale </w:t>
            </w:r>
            <w:r>
              <w:t>në format elektronik në ITS për komente, si dhe versionet përfundimtare, në përputhje me afatin kohor të rënë dakord të specifikuar në kontratë, në lidhje me këtë Komponent.</w:t>
            </w:r>
          </w:p>
        </w:tc>
        <w:tc>
          <w:tcPr>
            <w:tcW w:w="2223" w:type="dxa"/>
          </w:tcPr>
          <w:p w14:paraId="17D66DB4" w14:textId="77777777" w:rsidR="002028CB" w:rsidRDefault="004B4550" w:rsidP="00FE3809">
            <w:pPr>
              <w:jc w:val="center"/>
            </w:pPr>
            <w:r>
              <w:t>Hartuar deri më 30 Prill 2024</w:t>
            </w:r>
          </w:p>
          <w:p w14:paraId="183B638A" w14:textId="77777777" w:rsidR="002028CB" w:rsidRDefault="004B4550" w:rsidP="00FE3809">
            <w:pPr>
              <w:jc w:val="center"/>
            </w:pPr>
            <w:r>
              <w:t>Përfundimi deri më 19 maj 2024</w:t>
            </w:r>
          </w:p>
        </w:tc>
      </w:tr>
      <w:tr w:rsidR="002028CB" w14:paraId="2C9E2A7B" w14:textId="77777777">
        <w:tc>
          <w:tcPr>
            <w:tcW w:w="538" w:type="dxa"/>
          </w:tcPr>
          <w:p w14:paraId="2A811AE2" w14:textId="654BD342" w:rsidR="002028CB" w:rsidRDefault="00DA7EE7">
            <w:pPr>
              <w:jc w:val="both"/>
              <w:rPr>
                <w:b/>
              </w:rPr>
            </w:pPr>
            <w:r>
              <w:rPr>
                <w:b/>
              </w:rPr>
              <w:t>6</w:t>
            </w:r>
          </w:p>
        </w:tc>
        <w:tc>
          <w:tcPr>
            <w:tcW w:w="6589" w:type="dxa"/>
          </w:tcPr>
          <w:p w14:paraId="35F1193C" w14:textId="36BA73C6" w:rsidR="002028CB" w:rsidRDefault="004540E1">
            <w:pPr>
              <w:jc w:val="both"/>
            </w:pPr>
            <w:r>
              <w:t xml:space="preserve">Dorëzoni </w:t>
            </w:r>
            <w:r w:rsidR="004B4550">
              <w:t>një dokument të detajuar që përshkruan strategjinë e promovimit të mediave sociale, duke përfshirë platformat që do të përdoren, audiencat e synuara, shpërndarjen e buxhetit dhe afatin kohor të fushatës, dhe një buxhet të propozuar për rritjen e postimeve dhe reklamave, duke përfshirë një ndarje të kostove për platformë dhe rezultatet e pritshme.</w:t>
            </w:r>
          </w:p>
        </w:tc>
        <w:tc>
          <w:tcPr>
            <w:tcW w:w="2223" w:type="dxa"/>
          </w:tcPr>
          <w:p w14:paraId="7D61D10F" w14:textId="3566B616" w:rsidR="002028CB" w:rsidRDefault="004540E1" w:rsidP="00FE3809">
            <w:pPr>
              <w:jc w:val="center"/>
            </w:pPr>
            <w:r>
              <w:t>M</w:t>
            </w:r>
            <w:r w:rsidR="004B4550">
              <w:t>aj 2024</w:t>
            </w:r>
          </w:p>
        </w:tc>
      </w:tr>
      <w:tr w:rsidR="002028CB" w14:paraId="082E2EBF" w14:textId="77777777">
        <w:tc>
          <w:tcPr>
            <w:tcW w:w="538" w:type="dxa"/>
          </w:tcPr>
          <w:p w14:paraId="4AD0783D" w14:textId="47CE7DEB" w:rsidR="002028CB" w:rsidRDefault="00DA7EE7">
            <w:pPr>
              <w:jc w:val="both"/>
              <w:rPr>
                <w:b/>
              </w:rPr>
            </w:pPr>
            <w:r>
              <w:rPr>
                <w:b/>
              </w:rPr>
              <w:t>7</w:t>
            </w:r>
            <w:bookmarkStart w:id="0" w:name="_GoBack"/>
            <w:bookmarkEnd w:id="0"/>
          </w:p>
        </w:tc>
        <w:tc>
          <w:tcPr>
            <w:tcW w:w="6589" w:type="dxa"/>
          </w:tcPr>
          <w:p w14:paraId="3AA1A7E8" w14:textId="77777777" w:rsidR="002028CB" w:rsidRDefault="004B4550">
            <w:pPr>
              <w:jc w:val="both"/>
            </w:pPr>
            <w:r>
              <w:t xml:space="preserve">Organizoni </w:t>
            </w:r>
            <w:r>
              <w:rPr>
                <w:b/>
              </w:rPr>
              <w:t xml:space="preserve">takime të rregullta me ITS </w:t>
            </w:r>
            <w:r>
              <w:t>të paktën në baza javore për të ndarë progresin dhe për të diskutuar sfidat. Merrni shënime dhe ndajini ato me ITS.</w:t>
            </w:r>
          </w:p>
        </w:tc>
        <w:tc>
          <w:tcPr>
            <w:tcW w:w="2223" w:type="dxa"/>
          </w:tcPr>
          <w:p w14:paraId="66B350C3" w14:textId="77777777" w:rsidR="002028CB" w:rsidRDefault="004B4550" w:rsidP="00FE3809">
            <w:pPr>
              <w:jc w:val="center"/>
            </w:pPr>
            <w:r>
              <w:t>Takimi i parë më 3 Prill 2024</w:t>
            </w:r>
          </w:p>
        </w:tc>
      </w:tr>
    </w:tbl>
    <w:p w14:paraId="6EC40A0F" w14:textId="77777777" w:rsidR="002028CB" w:rsidRDefault="002028CB">
      <w:pPr>
        <w:jc w:val="both"/>
        <w:rPr>
          <w:b/>
        </w:rPr>
      </w:pPr>
    </w:p>
    <w:p w14:paraId="71C2D5E3" w14:textId="77777777" w:rsidR="002028CB" w:rsidRPr="00FE3809" w:rsidRDefault="004B4550">
      <w:pPr>
        <w:pStyle w:val="Heading1"/>
        <w:spacing w:before="0"/>
        <w:jc w:val="both"/>
      </w:pPr>
      <w:r w:rsidRPr="00FE3809">
        <w:t xml:space="preserve">6. </w:t>
      </w:r>
      <w:r w:rsidRPr="00FE3809">
        <w:rPr>
          <w:rFonts w:eastAsia="Calibri" w:cstheme="majorHAnsi"/>
          <w:color w:val="2E75B5"/>
        </w:rPr>
        <w:t>Hapat e aplikimit</w:t>
      </w:r>
      <w:r w:rsidRPr="00FE3809">
        <w:rPr>
          <w:rFonts w:ascii="Calibri" w:eastAsia="Calibri" w:hAnsi="Calibri" w:cs="Calibri"/>
          <w:sz w:val="22"/>
          <w:szCs w:val="22"/>
        </w:rPr>
        <w:t xml:space="preserve"> </w:t>
      </w:r>
    </w:p>
    <w:p w14:paraId="5A9449CB" w14:textId="77777777" w:rsidR="002028CB" w:rsidRDefault="004B4550">
      <w:pPr>
        <w:numPr>
          <w:ilvl w:val="0"/>
          <w:numId w:val="3"/>
        </w:numPr>
        <w:pBdr>
          <w:top w:val="nil"/>
          <w:left w:val="nil"/>
          <w:bottom w:val="nil"/>
          <w:right w:val="nil"/>
          <w:between w:val="nil"/>
        </w:pBdr>
        <w:spacing w:after="0"/>
        <w:jc w:val="both"/>
      </w:pPr>
      <w:r>
        <w:rPr>
          <w:b/>
          <w:color w:val="000000"/>
        </w:rPr>
        <w:t xml:space="preserve">Interesi i shprehur </w:t>
      </w:r>
      <w:r>
        <w:rPr>
          <w:color w:val="000000"/>
        </w:rPr>
        <w:t>: Dërgoni një email që konfirmon Shprehjen e Interesit.</w:t>
      </w:r>
    </w:p>
    <w:p w14:paraId="05DFD2FB" w14:textId="77777777" w:rsidR="002028CB" w:rsidRDefault="004B4550">
      <w:pPr>
        <w:numPr>
          <w:ilvl w:val="0"/>
          <w:numId w:val="3"/>
        </w:numPr>
        <w:pBdr>
          <w:top w:val="nil"/>
          <w:left w:val="nil"/>
          <w:bottom w:val="nil"/>
          <w:right w:val="nil"/>
          <w:between w:val="nil"/>
        </w:pBdr>
        <w:spacing w:after="0"/>
        <w:jc w:val="both"/>
      </w:pPr>
      <w:r>
        <w:rPr>
          <w:b/>
          <w:color w:val="000000"/>
        </w:rPr>
        <w:t xml:space="preserve">Ndarja e Dokumenteve </w:t>
      </w:r>
      <w:r>
        <w:rPr>
          <w:color w:val="000000"/>
        </w:rPr>
        <w:t>: ITS shpërndan dokumente përkatëse për të ndihmuar në përgatitjen e propozimit teknik dhe financiar.</w:t>
      </w:r>
    </w:p>
    <w:p w14:paraId="76AD9FAD" w14:textId="77777777" w:rsidR="002028CB" w:rsidRDefault="004B4550">
      <w:pPr>
        <w:numPr>
          <w:ilvl w:val="0"/>
          <w:numId w:val="3"/>
        </w:numPr>
        <w:pBdr>
          <w:top w:val="nil"/>
          <w:left w:val="nil"/>
          <w:bottom w:val="nil"/>
          <w:right w:val="nil"/>
          <w:between w:val="nil"/>
        </w:pBdr>
        <w:spacing w:after="0"/>
        <w:jc w:val="both"/>
      </w:pPr>
      <w:r>
        <w:rPr>
          <w:b/>
          <w:color w:val="000000"/>
        </w:rPr>
        <w:t xml:space="preserve">Dorëzimi i Propozimit Teknik: </w:t>
      </w:r>
      <w:r>
        <w:rPr>
          <w:color w:val="000000"/>
        </w:rPr>
        <w:t>Kandidatët e interesuar duhet të dorëzojnë propozime që përmbajnë CV të detajuara, përvojën përkatëse të kompanisë dhe mostrat e produkteve nga projektet e mëparshme.</w:t>
      </w:r>
    </w:p>
    <w:p w14:paraId="7DD3AE66" w14:textId="77777777" w:rsidR="002028CB" w:rsidRDefault="004B4550">
      <w:pPr>
        <w:numPr>
          <w:ilvl w:val="0"/>
          <w:numId w:val="3"/>
        </w:numPr>
        <w:pBdr>
          <w:top w:val="nil"/>
          <w:left w:val="nil"/>
          <w:bottom w:val="nil"/>
          <w:right w:val="nil"/>
          <w:between w:val="nil"/>
        </w:pBdr>
        <w:spacing w:after="0"/>
        <w:jc w:val="both"/>
      </w:pPr>
      <w:r>
        <w:rPr>
          <w:b/>
          <w:color w:val="000000"/>
        </w:rPr>
        <w:t xml:space="preserve">Propozimi Financiar: </w:t>
      </w:r>
      <w:r>
        <w:rPr>
          <w:color w:val="000000"/>
        </w:rPr>
        <w:t>Paraqisni propozimin financiar pa TVSH.</w:t>
      </w:r>
    </w:p>
    <w:p w14:paraId="3CD67751" w14:textId="77777777" w:rsidR="002028CB" w:rsidRDefault="002028CB">
      <w:pPr>
        <w:pBdr>
          <w:top w:val="nil"/>
          <w:left w:val="nil"/>
          <w:bottom w:val="nil"/>
          <w:right w:val="nil"/>
          <w:between w:val="nil"/>
        </w:pBdr>
        <w:jc w:val="both"/>
      </w:pPr>
    </w:p>
    <w:p w14:paraId="0AAC266F" w14:textId="77777777" w:rsidR="002028CB" w:rsidRDefault="00FE3809" w:rsidP="00FE3809">
      <w:pPr>
        <w:pStyle w:val="Heading1"/>
        <w:spacing w:before="0"/>
        <w:jc w:val="both"/>
      </w:pPr>
      <w:r>
        <w:t>7. Profili i kërkuar</w:t>
      </w:r>
    </w:p>
    <w:p w14:paraId="094B3928" w14:textId="77777777" w:rsidR="002028CB" w:rsidRDefault="004B4550">
      <w:pPr>
        <w:numPr>
          <w:ilvl w:val="0"/>
          <w:numId w:val="1"/>
        </w:numPr>
        <w:pBdr>
          <w:top w:val="nil"/>
          <w:left w:val="nil"/>
          <w:bottom w:val="nil"/>
          <w:right w:val="nil"/>
          <w:between w:val="nil"/>
        </w:pBdr>
        <w:spacing w:after="0"/>
        <w:jc w:val="both"/>
      </w:pPr>
      <w:r>
        <w:rPr>
          <w:color w:val="000000"/>
        </w:rPr>
        <w:t>Demonstroi akses në një ekip ekspertësh me përvojë të gjerë në zhvillimin e përmbajtjes tërheqëse të mediave sociale.</w:t>
      </w:r>
    </w:p>
    <w:p w14:paraId="25DC7C4A" w14:textId="77777777" w:rsidR="002028CB" w:rsidRDefault="004B4550">
      <w:pPr>
        <w:numPr>
          <w:ilvl w:val="0"/>
          <w:numId w:val="1"/>
        </w:numPr>
        <w:pBdr>
          <w:top w:val="nil"/>
          <w:left w:val="nil"/>
          <w:bottom w:val="nil"/>
          <w:right w:val="nil"/>
          <w:between w:val="nil"/>
        </w:pBdr>
        <w:spacing w:after="0"/>
        <w:jc w:val="both"/>
      </w:pPr>
      <w:r>
        <w:rPr>
          <w:color w:val="000000"/>
        </w:rPr>
        <w:t>Krijimi i historisë së bashkëpunimit të suksesshëm me OJQ-të, kompanitë e sektorit privat dhe entet e sektorit publik në fushat përkatëse, duke siguruar një mirëkuptim dhe angazhim gjithëpërfshirës në sektorë të ndryshëm.</w:t>
      </w:r>
    </w:p>
    <w:p w14:paraId="1698E4AC" w14:textId="77777777" w:rsidR="002028CB" w:rsidRDefault="004B4550">
      <w:pPr>
        <w:numPr>
          <w:ilvl w:val="0"/>
          <w:numId w:val="1"/>
        </w:numPr>
        <w:pBdr>
          <w:top w:val="nil"/>
          <w:left w:val="nil"/>
          <w:bottom w:val="nil"/>
          <w:right w:val="nil"/>
          <w:between w:val="nil"/>
        </w:pBdr>
        <w:jc w:val="both"/>
      </w:pPr>
      <w:r>
        <w:rPr>
          <w:color w:val="000000"/>
        </w:rPr>
        <w:t>Përvojë e dëshmuar në hartimin e fushatave efektive të mediave sociale duke shfrytëzuar ekspertizën e ekipit të kompanisë ose rrjetit të saj të ekspertëve të lidhur.</w:t>
      </w:r>
    </w:p>
    <w:p w14:paraId="02896066" w14:textId="77777777" w:rsidR="002028CB" w:rsidRDefault="004B4550">
      <w:pPr>
        <w:pStyle w:val="Heading1"/>
        <w:jc w:val="both"/>
      </w:pPr>
      <w:r>
        <w:t>8. Kriteret e Vlerësimit</w:t>
      </w:r>
    </w:p>
    <w:p w14:paraId="6B43C839" w14:textId="77777777" w:rsidR="002028CB" w:rsidRDefault="004B4550">
      <w:pPr>
        <w:spacing w:after="0"/>
        <w:jc w:val="both"/>
      </w:pPr>
      <w:r>
        <w:t>ITS do të shpërblejë ofertuesin, propozimi i të cilit ofron vlerën më të mirë, duke marrë parasysh faktorët teknikë dhe të kostos. Një metodë vlerësimi e kombinimit të pikëve për propozimin teknik dhe ekonomik do të vlerësohet sipas kritereve të mëposhtme:</w:t>
      </w:r>
    </w:p>
    <w:p w14:paraId="22652221" w14:textId="4770DAD9" w:rsidR="002028CB" w:rsidRDefault="004B4550">
      <w:pPr>
        <w:numPr>
          <w:ilvl w:val="0"/>
          <w:numId w:val="4"/>
        </w:numPr>
        <w:pBdr>
          <w:top w:val="nil"/>
          <w:left w:val="nil"/>
          <w:bottom w:val="nil"/>
          <w:right w:val="nil"/>
          <w:between w:val="nil"/>
        </w:pBdr>
        <w:spacing w:after="0"/>
        <w:jc w:val="both"/>
        <w:rPr>
          <w:color w:val="000000"/>
        </w:rPr>
      </w:pPr>
      <w:r>
        <w:rPr>
          <w:color w:val="000000"/>
        </w:rPr>
        <w:t xml:space="preserve">Propozimi teknik është vlerësuar me </w:t>
      </w:r>
      <w:r w:rsidR="004540E1">
        <w:rPr>
          <w:color w:val="000000"/>
        </w:rPr>
        <w:t>80%</w:t>
      </w:r>
      <w:r>
        <w:rPr>
          <w:color w:val="000000"/>
        </w:rPr>
        <w:t xml:space="preserve"> të mundshme duke përshkruar përvojën e mëparshme të demonstruar dhe kualifikimin e ekipit.</w:t>
      </w:r>
      <w:r w:rsidR="004540E1">
        <w:rPr>
          <w:color w:val="000000"/>
        </w:rPr>
        <w:t xml:space="preserve"> Kjo përfshinë:</w:t>
      </w:r>
    </w:p>
    <w:p w14:paraId="4417942F" w14:textId="641B40C6" w:rsidR="004540E1" w:rsidRDefault="004540E1" w:rsidP="004540E1">
      <w:pPr>
        <w:numPr>
          <w:ilvl w:val="1"/>
          <w:numId w:val="4"/>
        </w:numPr>
        <w:pBdr>
          <w:top w:val="nil"/>
          <w:left w:val="nil"/>
          <w:bottom w:val="nil"/>
          <w:right w:val="nil"/>
          <w:between w:val="nil"/>
        </w:pBdr>
        <w:spacing w:after="0"/>
        <w:jc w:val="both"/>
        <w:rPr>
          <w:color w:val="000000"/>
        </w:rPr>
      </w:pPr>
      <w:r>
        <w:rPr>
          <w:color w:val="000000"/>
        </w:rPr>
        <w:t>30 pikë nga totali 100 për përvojat e mëhershme të demonstruara.</w:t>
      </w:r>
    </w:p>
    <w:p w14:paraId="44867FA1" w14:textId="7AD730F3" w:rsidR="004540E1" w:rsidRDefault="004540E1" w:rsidP="004540E1">
      <w:pPr>
        <w:numPr>
          <w:ilvl w:val="1"/>
          <w:numId w:val="4"/>
        </w:numPr>
        <w:pBdr>
          <w:top w:val="nil"/>
          <w:left w:val="nil"/>
          <w:bottom w:val="nil"/>
          <w:right w:val="nil"/>
          <w:between w:val="nil"/>
        </w:pBdr>
        <w:spacing w:after="0"/>
        <w:jc w:val="both"/>
        <w:rPr>
          <w:color w:val="000000"/>
        </w:rPr>
      </w:pPr>
      <w:r>
        <w:rPr>
          <w:color w:val="000000"/>
        </w:rPr>
        <w:lastRenderedPageBreak/>
        <w:t>30 pikë nga totali 100 për aftësitë e demonstruara të ekipës.</w:t>
      </w:r>
    </w:p>
    <w:p w14:paraId="6FB85A85" w14:textId="0C25B588" w:rsidR="004540E1" w:rsidRDefault="004540E1" w:rsidP="004540E1">
      <w:pPr>
        <w:numPr>
          <w:ilvl w:val="1"/>
          <w:numId w:val="4"/>
        </w:numPr>
        <w:pBdr>
          <w:top w:val="nil"/>
          <w:left w:val="nil"/>
          <w:bottom w:val="nil"/>
          <w:right w:val="nil"/>
          <w:between w:val="nil"/>
        </w:pBdr>
        <w:spacing w:after="0"/>
        <w:jc w:val="both"/>
        <w:rPr>
          <w:color w:val="000000"/>
        </w:rPr>
      </w:pPr>
      <w:r>
        <w:rPr>
          <w:color w:val="000000"/>
        </w:rPr>
        <w:t>40 pikë nga totali 100 për kualitetin e materialeve (samples) të dorëzuara.</w:t>
      </w:r>
    </w:p>
    <w:p w14:paraId="1CDB1A4A" w14:textId="77777777" w:rsidR="002028CB" w:rsidRDefault="004B4550">
      <w:pPr>
        <w:numPr>
          <w:ilvl w:val="0"/>
          <w:numId w:val="4"/>
        </w:numPr>
        <w:pBdr>
          <w:top w:val="nil"/>
          <w:left w:val="nil"/>
          <w:bottom w:val="nil"/>
          <w:right w:val="nil"/>
          <w:between w:val="nil"/>
        </w:pBdr>
        <w:spacing w:after="0"/>
        <w:jc w:val="both"/>
        <w:rPr>
          <w:color w:val="000000"/>
        </w:rPr>
      </w:pPr>
      <w:r>
        <w:rPr>
          <w:color w:val="000000"/>
        </w:rPr>
        <w:t>Propozimi financiar vlerësohet me 20 pikë të mundshme, me një buxhet të qartë dhe konciz të detajuar së bashku me shkallën në të cilën kostot janë të arsyeshme.</w:t>
      </w:r>
    </w:p>
    <w:p w14:paraId="1C8C5B9B" w14:textId="77777777" w:rsidR="002028CB" w:rsidRDefault="004B4550">
      <w:pPr>
        <w:spacing w:after="0"/>
        <w:jc w:val="both"/>
      </w:pPr>
      <w:r>
        <w:t xml:space="preserve">Email – konfirmimi fillestar për Shprehjen e Interesit duhet të dërgohet në info@institutets.com. Propozimi financiar dhe teknik duhet të dërgohet në info@institutets.com, ndërsa çdo pyetje që ka të bëjë me vlerësimin duhet të adresohet në </w:t>
      </w:r>
      <w:hyperlink r:id="rId8">
        <w:r>
          <w:rPr>
            <w:color w:val="0563C1"/>
            <w:u w:val="single"/>
          </w:rPr>
          <w:t xml:space="preserve">info@institutets.com </w:t>
        </w:r>
      </w:hyperlink>
      <w:r>
        <w:t>.</w:t>
      </w:r>
    </w:p>
    <w:p w14:paraId="4FA3112A" w14:textId="77777777" w:rsidR="002028CB" w:rsidRDefault="002028CB">
      <w:pPr>
        <w:spacing w:after="0"/>
        <w:jc w:val="both"/>
      </w:pPr>
    </w:p>
    <w:p w14:paraId="3DD65984" w14:textId="77777777" w:rsidR="002028CB" w:rsidRDefault="004B4550">
      <w:pPr>
        <w:spacing w:after="0"/>
        <w:jc w:val="both"/>
      </w:pPr>
      <w:r>
        <w:t>Vetëm kompania e përzgjedhur do të njoftohet.</w:t>
      </w:r>
    </w:p>
    <w:p w14:paraId="6334EDF3" w14:textId="77777777" w:rsidR="002028CB" w:rsidRDefault="002028CB">
      <w:pPr>
        <w:spacing w:after="0"/>
        <w:jc w:val="both"/>
      </w:pPr>
    </w:p>
    <w:p w14:paraId="00996AAF" w14:textId="77777777" w:rsidR="002028CB" w:rsidRDefault="002028CB">
      <w:pPr>
        <w:spacing w:after="0"/>
        <w:jc w:val="both"/>
      </w:pPr>
    </w:p>
    <w:sectPr w:rsidR="002028CB">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BD824" w14:textId="77777777" w:rsidR="005647E7" w:rsidRDefault="005647E7">
      <w:pPr>
        <w:spacing w:after="0" w:line="240" w:lineRule="auto"/>
      </w:pPr>
      <w:r>
        <w:separator/>
      </w:r>
    </w:p>
  </w:endnote>
  <w:endnote w:type="continuationSeparator" w:id="0">
    <w:p w14:paraId="4C83630D" w14:textId="77777777" w:rsidR="005647E7" w:rsidRDefault="0056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22FE" w14:textId="48742948" w:rsidR="002028CB" w:rsidRDefault="004B455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7EE7">
      <w:rPr>
        <w:noProof/>
        <w:color w:val="000000"/>
      </w:rPr>
      <w:t>4</w:t>
    </w:r>
    <w:r>
      <w:rPr>
        <w:color w:val="000000"/>
      </w:rPr>
      <w:fldChar w:fldCharType="end"/>
    </w:r>
  </w:p>
  <w:p w14:paraId="373A51C0" w14:textId="77777777" w:rsidR="002028CB" w:rsidRDefault="002028C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BD92" w14:textId="77777777" w:rsidR="005647E7" w:rsidRDefault="005647E7">
      <w:pPr>
        <w:spacing w:after="0" w:line="240" w:lineRule="auto"/>
      </w:pPr>
      <w:r>
        <w:separator/>
      </w:r>
    </w:p>
  </w:footnote>
  <w:footnote w:type="continuationSeparator" w:id="0">
    <w:p w14:paraId="366C6881" w14:textId="77777777" w:rsidR="005647E7" w:rsidRDefault="00564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D4D4" w14:textId="77777777" w:rsidR="002028CB" w:rsidRDefault="004B4550">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hidden="0" allowOverlap="1" wp14:anchorId="47AF3D12" wp14:editId="28C6B2AF">
          <wp:simplePos x="0" y="0"/>
          <wp:positionH relativeFrom="column">
            <wp:posOffset>5076825</wp:posOffset>
          </wp:positionH>
          <wp:positionV relativeFrom="paragraph">
            <wp:posOffset>-277873</wp:posOffset>
          </wp:positionV>
          <wp:extent cx="866775" cy="516890"/>
          <wp:effectExtent l="0" t="0" r="0" b="0"/>
          <wp:wrapNone/>
          <wp:docPr id="1890988997" name="image1.png" descr="CDF%20II"/>
          <wp:cNvGraphicFramePr/>
          <a:graphic xmlns:a="http://schemas.openxmlformats.org/drawingml/2006/main">
            <a:graphicData uri="http://schemas.openxmlformats.org/drawingml/2006/picture">
              <pic:pic xmlns:pic="http://schemas.openxmlformats.org/drawingml/2006/picture">
                <pic:nvPicPr>
                  <pic:cNvPr id="0" name="image1.png" descr="CDF%20II"/>
                  <pic:cNvPicPr preferRelativeResize="0"/>
                </pic:nvPicPr>
                <pic:blipFill>
                  <a:blip r:embed="rId1"/>
                  <a:srcRect/>
                  <a:stretch>
                    <a:fillRect/>
                  </a:stretch>
                </pic:blipFill>
                <pic:spPr>
                  <a:xfrm>
                    <a:off x="0" y="0"/>
                    <a:ext cx="866775" cy="51689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69C1A090" wp14:editId="4439AEF8">
          <wp:simplePos x="0" y="0"/>
          <wp:positionH relativeFrom="column">
            <wp:posOffset>1</wp:posOffset>
          </wp:positionH>
          <wp:positionV relativeFrom="paragraph">
            <wp:posOffset>-207454</wp:posOffset>
          </wp:positionV>
          <wp:extent cx="1750461" cy="374313"/>
          <wp:effectExtent l="0" t="0" r="0" b="0"/>
          <wp:wrapNone/>
          <wp:docPr id="18909889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8192" t="41178" r="8062" b="40914"/>
                  <a:stretch>
                    <a:fillRect/>
                  </a:stretch>
                </pic:blipFill>
                <pic:spPr>
                  <a:xfrm>
                    <a:off x="0" y="0"/>
                    <a:ext cx="1750461" cy="37431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F1D57"/>
    <w:multiLevelType w:val="multilevel"/>
    <w:tmpl w:val="94E4709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965D83"/>
    <w:multiLevelType w:val="multilevel"/>
    <w:tmpl w:val="70584F4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E50362D"/>
    <w:multiLevelType w:val="multilevel"/>
    <w:tmpl w:val="117AE13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93546D"/>
    <w:multiLevelType w:val="multilevel"/>
    <w:tmpl w:val="59D4AD2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9017A07"/>
    <w:multiLevelType w:val="multilevel"/>
    <w:tmpl w:val="5CB05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8AF03EC"/>
    <w:multiLevelType w:val="multilevel"/>
    <w:tmpl w:val="5490A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CB"/>
    <w:rsid w:val="00045832"/>
    <w:rsid w:val="0015438B"/>
    <w:rsid w:val="001F293F"/>
    <w:rsid w:val="002028CB"/>
    <w:rsid w:val="002F463E"/>
    <w:rsid w:val="004540E1"/>
    <w:rsid w:val="004B4550"/>
    <w:rsid w:val="005647E7"/>
    <w:rsid w:val="00860F70"/>
    <w:rsid w:val="00A63649"/>
    <w:rsid w:val="00AC5916"/>
    <w:rsid w:val="00DA7EE7"/>
    <w:rsid w:val="00F622F0"/>
    <w:rsid w:val="00FE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A209B"/>
  <w15:docId w15:val="{39A1B4CF-94CD-4A6E-A618-20ED0CC0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q"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2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2EC0"/>
    <w:pPr>
      <w:spacing w:after="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14D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4DB9"/>
    <w:rPr>
      <w:b/>
      <w:bCs/>
    </w:rPr>
  </w:style>
  <w:style w:type="character" w:styleId="Emphasis">
    <w:name w:val="Emphasis"/>
    <w:basedOn w:val="DefaultParagraphFont"/>
    <w:uiPriority w:val="20"/>
    <w:qFormat/>
    <w:rsid w:val="00414DB9"/>
    <w:rPr>
      <w:i/>
      <w:iCs/>
    </w:rPr>
  </w:style>
  <w:style w:type="paragraph" w:styleId="z-TopofForm">
    <w:name w:val="HTML Top of Form"/>
    <w:basedOn w:val="Normal"/>
    <w:next w:val="Normal"/>
    <w:link w:val="z-TopofFormChar"/>
    <w:hidden/>
    <w:uiPriority w:val="99"/>
    <w:semiHidden/>
    <w:unhideWhenUsed/>
    <w:rsid w:val="00414D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4DB9"/>
    <w:rPr>
      <w:rFonts w:ascii="Arial" w:eastAsia="Times New Roman" w:hAnsi="Arial" w:cs="Arial"/>
      <w:vanish/>
      <w:sz w:val="16"/>
      <w:szCs w:val="16"/>
    </w:rPr>
  </w:style>
  <w:style w:type="paragraph" w:styleId="ListParagraph">
    <w:name w:val="List Paragraph"/>
    <w:basedOn w:val="Normal"/>
    <w:uiPriority w:val="34"/>
    <w:qFormat/>
    <w:rsid w:val="00392D61"/>
    <w:pPr>
      <w:ind w:left="720"/>
      <w:contextualSpacing/>
    </w:pPr>
  </w:style>
  <w:style w:type="paragraph" w:styleId="BalloonText">
    <w:name w:val="Balloon Text"/>
    <w:basedOn w:val="Normal"/>
    <w:link w:val="BalloonTextChar"/>
    <w:uiPriority w:val="99"/>
    <w:semiHidden/>
    <w:unhideWhenUsed/>
    <w:rsid w:val="0097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407"/>
    <w:rPr>
      <w:rFonts w:ascii="Segoe UI" w:hAnsi="Segoe UI" w:cs="Segoe UI"/>
      <w:sz w:val="18"/>
      <w:szCs w:val="18"/>
    </w:rPr>
  </w:style>
  <w:style w:type="table" w:styleId="TableGrid">
    <w:name w:val="Table Grid"/>
    <w:basedOn w:val="TableNormal"/>
    <w:uiPriority w:val="39"/>
    <w:rsid w:val="00122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2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A9"/>
  </w:style>
  <w:style w:type="paragraph" w:styleId="Footer">
    <w:name w:val="footer"/>
    <w:basedOn w:val="Normal"/>
    <w:link w:val="FooterChar"/>
    <w:uiPriority w:val="99"/>
    <w:unhideWhenUsed/>
    <w:rsid w:val="00572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A9"/>
  </w:style>
  <w:style w:type="character" w:customStyle="1" w:styleId="TitleChar">
    <w:name w:val="Title Char"/>
    <w:basedOn w:val="DefaultParagraphFont"/>
    <w:link w:val="Title"/>
    <w:uiPriority w:val="10"/>
    <w:rsid w:val="00EF2E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2E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D75F6"/>
    <w:rPr>
      <w:color w:val="0563C1" w:themeColor="hyperlink"/>
      <w:u w:val="single"/>
    </w:rPr>
  </w:style>
  <w:style w:type="character" w:customStyle="1" w:styleId="UnresolvedMention1">
    <w:name w:val="Unresolved Mention1"/>
    <w:basedOn w:val="DefaultParagraphFont"/>
    <w:uiPriority w:val="99"/>
    <w:semiHidden/>
    <w:unhideWhenUsed/>
    <w:rsid w:val="00CD085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63649"/>
    <w:rPr>
      <w:sz w:val="16"/>
      <w:szCs w:val="16"/>
    </w:rPr>
  </w:style>
  <w:style w:type="paragraph" w:styleId="CommentText">
    <w:name w:val="annotation text"/>
    <w:basedOn w:val="Normal"/>
    <w:link w:val="CommentTextChar"/>
    <w:uiPriority w:val="99"/>
    <w:semiHidden/>
    <w:unhideWhenUsed/>
    <w:rsid w:val="00A63649"/>
    <w:pPr>
      <w:spacing w:line="240" w:lineRule="auto"/>
    </w:pPr>
    <w:rPr>
      <w:sz w:val="20"/>
      <w:szCs w:val="20"/>
    </w:rPr>
  </w:style>
  <w:style w:type="character" w:customStyle="1" w:styleId="CommentTextChar">
    <w:name w:val="Comment Text Char"/>
    <w:basedOn w:val="DefaultParagraphFont"/>
    <w:link w:val="CommentText"/>
    <w:uiPriority w:val="99"/>
    <w:semiHidden/>
    <w:rsid w:val="00A63649"/>
    <w:rPr>
      <w:sz w:val="20"/>
      <w:szCs w:val="20"/>
    </w:rPr>
  </w:style>
  <w:style w:type="paragraph" w:styleId="CommentSubject">
    <w:name w:val="annotation subject"/>
    <w:basedOn w:val="CommentText"/>
    <w:next w:val="CommentText"/>
    <w:link w:val="CommentSubjectChar"/>
    <w:uiPriority w:val="99"/>
    <w:semiHidden/>
    <w:unhideWhenUsed/>
    <w:rsid w:val="00A63649"/>
    <w:rPr>
      <w:b/>
      <w:bCs/>
    </w:rPr>
  </w:style>
  <w:style w:type="character" w:customStyle="1" w:styleId="CommentSubjectChar">
    <w:name w:val="Comment Subject Char"/>
    <w:basedOn w:val="CommentTextChar"/>
    <w:link w:val="CommentSubject"/>
    <w:uiPriority w:val="99"/>
    <w:semiHidden/>
    <w:rsid w:val="00A636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institute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6oG5lUOPhOSJ7mHtwsW6DrMjsg==">CgMxLjA4AHIhMTU2OUFPNUZzbzhoYjZsT2RmMFhyZ0Y0aHFjZ20tck8x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Fisnik Sopjani</dc:creator>
  <cp:lastModifiedBy>Microsoft account</cp:lastModifiedBy>
  <cp:revision>7</cp:revision>
  <dcterms:created xsi:type="dcterms:W3CDTF">2024-03-12T09:50:00Z</dcterms:created>
  <dcterms:modified xsi:type="dcterms:W3CDTF">2024-03-14T09:04:00Z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2d75e5db248ef9901404749cb5bcb0215a29b9b71213a0d294e64e9e2c65ef13</vt:lpwstr>
  </property>
</Properties>
</file>